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"/>
        <w:gridCol w:w="5953"/>
        <w:gridCol w:w="5954"/>
        <w:gridCol w:w="1417"/>
      </w:tblGrid>
      <w:tr w:rsidR="00E8234C" w14:paraId="65984374" w14:textId="77777777" w:rsidTr="00E8234C">
        <w:tc>
          <w:tcPr>
            <w:tcW w:w="421" w:type="dxa"/>
          </w:tcPr>
          <w:p w14:paraId="39293F56" w14:textId="77777777" w:rsidR="00E8234C" w:rsidRDefault="00E8234C"/>
        </w:tc>
        <w:tc>
          <w:tcPr>
            <w:tcW w:w="5953" w:type="dxa"/>
          </w:tcPr>
          <w:p w14:paraId="7E6F9A02" w14:textId="77938964" w:rsidR="00E8234C" w:rsidRPr="00E8234C" w:rsidRDefault="00E8234C" w:rsidP="00E823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34C">
              <w:rPr>
                <w:rFonts w:ascii="Arial" w:hAnsi="Arial" w:cs="Arial"/>
                <w:b/>
                <w:bCs/>
                <w:sz w:val="22"/>
                <w:szCs w:val="22"/>
              </w:rPr>
              <w:t>Wymagania funkcjonalne dla oprogramowania (minimalne)</w:t>
            </w:r>
          </w:p>
        </w:tc>
        <w:tc>
          <w:tcPr>
            <w:tcW w:w="5954" w:type="dxa"/>
          </w:tcPr>
          <w:p w14:paraId="1A7441C7" w14:textId="214C4170" w:rsidR="00E8234C" w:rsidRPr="00E8234C" w:rsidRDefault="00E8234C" w:rsidP="00E823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34C">
              <w:rPr>
                <w:rFonts w:ascii="Arial" w:hAnsi="Arial" w:cs="Arial"/>
                <w:b/>
                <w:bCs/>
                <w:sz w:val="22"/>
                <w:szCs w:val="22"/>
              </w:rPr>
              <w:t>Wymagania funkcjonalne dla oprogramowania oferowane przez Wykonawcę</w:t>
            </w:r>
          </w:p>
        </w:tc>
        <w:tc>
          <w:tcPr>
            <w:tcW w:w="1417" w:type="dxa"/>
          </w:tcPr>
          <w:p w14:paraId="790C3D4A" w14:textId="4B83BFAB" w:rsidR="00E8234C" w:rsidRPr="00E8234C" w:rsidRDefault="00E8234C" w:rsidP="00E8234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234C">
              <w:rPr>
                <w:rFonts w:ascii="Arial" w:hAnsi="Arial" w:cs="Arial"/>
                <w:b/>
                <w:bCs/>
                <w:sz w:val="22"/>
                <w:szCs w:val="22"/>
              </w:rPr>
              <w:t>Spełnia (TAK/NIE) – wpisać właściwe</w:t>
            </w:r>
          </w:p>
        </w:tc>
      </w:tr>
      <w:tr w:rsidR="00E8234C" w14:paraId="194D342A" w14:textId="77777777" w:rsidTr="00E8234C">
        <w:tc>
          <w:tcPr>
            <w:tcW w:w="421" w:type="dxa"/>
          </w:tcPr>
          <w:p w14:paraId="1D60B7D9" w14:textId="1371F9D9" w:rsidR="00E8234C" w:rsidRDefault="00E14D70" w:rsidP="00E8234C">
            <w:r>
              <w:t>1</w:t>
            </w:r>
          </w:p>
        </w:tc>
        <w:tc>
          <w:tcPr>
            <w:tcW w:w="5953" w:type="dxa"/>
          </w:tcPr>
          <w:p w14:paraId="2279B93B" w14:textId="6C7462C8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Możliwość monitorowania poziomu zaindeksowania dokumentów (karty informacyjne) - z uwzględnieniem kart przekazanych do centralnego repozytorium Centrum e-Zdrowia dla </w:t>
            </w:r>
            <w:proofErr w:type="spellStart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zdigitalizowanej</w:t>
            </w:r>
            <w:proofErr w:type="spellEnd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 papierowej dokumentacji medycznej lub dokumentacji prowadzonej w wersji elektronicznej z podziałem na jednostki organizacyjne (możliwość monitorowania wskaźnika na poziomie kierowników poszczególnych jednostek org.), z dokładnością do miesiąca.</w:t>
            </w:r>
          </w:p>
        </w:tc>
        <w:tc>
          <w:tcPr>
            <w:tcW w:w="5954" w:type="dxa"/>
          </w:tcPr>
          <w:p w14:paraId="32C3C528" w14:textId="77777777" w:rsidR="00E8234C" w:rsidRDefault="00E8234C" w:rsidP="00E8234C"/>
        </w:tc>
        <w:tc>
          <w:tcPr>
            <w:tcW w:w="1417" w:type="dxa"/>
          </w:tcPr>
          <w:p w14:paraId="1B6F5644" w14:textId="77777777" w:rsidR="00E8234C" w:rsidRDefault="00E8234C" w:rsidP="00E8234C"/>
        </w:tc>
      </w:tr>
      <w:tr w:rsidR="00E8234C" w14:paraId="2E1A97A1" w14:textId="77777777" w:rsidTr="00E8234C">
        <w:tc>
          <w:tcPr>
            <w:tcW w:w="421" w:type="dxa"/>
          </w:tcPr>
          <w:p w14:paraId="741521CD" w14:textId="168AB70D" w:rsidR="00E8234C" w:rsidRDefault="00E14D70" w:rsidP="00E8234C">
            <w:r>
              <w:t>2</w:t>
            </w:r>
          </w:p>
        </w:tc>
        <w:tc>
          <w:tcPr>
            <w:tcW w:w="5953" w:type="dxa"/>
          </w:tcPr>
          <w:p w14:paraId="69BEA6C3" w14:textId="47FE8A77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Możliwość ponownej wysyłki indeksów do P1 i przeglądu błędów indeksacji z poziomu GUI HIS (w tym możliwość wykonania </w:t>
            </w:r>
            <w:proofErr w:type="spellStart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reindeksacji</w:t>
            </w:r>
            <w:proofErr w:type="spellEnd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 w trybie synchronicznym bezpośrednio z ekranu dokumentacji medycznej w danych pobytu pacjenta w szpitalu.)</w:t>
            </w:r>
          </w:p>
        </w:tc>
        <w:tc>
          <w:tcPr>
            <w:tcW w:w="5954" w:type="dxa"/>
          </w:tcPr>
          <w:p w14:paraId="52107941" w14:textId="77777777" w:rsidR="00E8234C" w:rsidRDefault="00E8234C" w:rsidP="00E8234C"/>
        </w:tc>
        <w:tc>
          <w:tcPr>
            <w:tcW w:w="1417" w:type="dxa"/>
          </w:tcPr>
          <w:p w14:paraId="5D089A76" w14:textId="77777777" w:rsidR="00E8234C" w:rsidRDefault="00E8234C" w:rsidP="00E8234C"/>
        </w:tc>
      </w:tr>
      <w:tr w:rsidR="00E8234C" w14:paraId="26A58C61" w14:textId="77777777" w:rsidTr="00E8234C">
        <w:tc>
          <w:tcPr>
            <w:tcW w:w="421" w:type="dxa"/>
          </w:tcPr>
          <w:p w14:paraId="04391C34" w14:textId="629D308F" w:rsidR="00E8234C" w:rsidRDefault="00E14D70" w:rsidP="00E8234C">
            <w:r>
              <w:t>3</w:t>
            </w:r>
          </w:p>
        </w:tc>
        <w:tc>
          <w:tcPr>
            <w:tcW w:w="5953" w:type="dxa"/>
          </w:tcPr>
          <w:p w14:paraId="1DFBA353" w14:textId="7E233273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Możliwość wymuszenia </w:t>
            </w:r>
            <w:proofErr w:type="spellStart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reindeksacji</w:t>
            </w:r>
            <w:proofErr w:type="spellEnd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 z poziomu GUI repozytorium EDM</w:t>
            </w:r>
          </w:p>
        </w:tc>
        <w:tc>
          <w:tcPr>
            <w:tcW w:w="5954" w:type="dxa"/>
          </w:tcPr>
          <w:p w14:paraId="59B575FA" w14:textId="77777777" w:rsidR="00E8234C" w:rsidRDefault="00E8234C" w:rsidP="00E8234C"/>
        </w:tc>
        <w:tc>
          <w:tcPr>
            <w:tcW w:w="1417" w:type="dxa"/>
          </w:tcPr>
          <w:p w14:paraId="217BD4F5" w14:textId="77777777" w:rsidR="00E8234C" w:rsidRDefault="00E8234C" w:rsidP="00E8234C"/>
        </w:tc>
      </w:tr>
      <w:tr w:rsidR="00E8234C" w14:paraId="289B006D" w14:textId="77777777" w:rsidTr="00E8234C">
        <w:tc>
          <w:tcPr>
            <w:tcW w:w="421" w:type="dxa"/>
          </w:tcPr>
          <w:p w14:paraId="4BA1D88C" w14:textId="435CB8B0" w:rsidR="00E8234C" w:rsidRDefault="00E14D70" w:rsidP="00E8234C">
            <w:r>
              <w:t>4</w:t>
            </w:r>
          </w:p>
        </w:tc>
        <w:tc>
          <w:tcPr>
            <w:tcW w:w="5953" w:type="dxa"/>
          </w:tcPr>
          <w:p w14:paraId="1AFD3FE3" w14:textId="6E7AD3B9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Funkcjonalność tworzenia dokumentów elektronicznych zgodnych z szablonem PIK HL7 CDA dla dokumentów </w:t>
            </w:r>
            <w:proofErr w:type="spellStart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zdigitalizowanych</w:t>
            </w:r>
            <w:proofErr w:type="spellEnd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 na bazie zarejestrowanych w systemie dokumentów zeskanowanych.</w:t>
            </w:r>
          </w:p>
        </w:tc>
        <w:tc>
          <w:tcPr>
            <w:tcW w:w="5954" w:type="dxa"/>
          </w:tcPr>
          <w:p w14:paraId="0088B6D1" w14:textId="77777777" w:rsidR="00E8234C" w:rsidRDefault="00E8234C" w:rsidP="00E8234C"/>
        </w:tc>
        <w:tc>
          <w:tcPr>
            <w:tcW w:w="1417" w:type="dxa"/>
          </w:tcPr>
          <w:p w14:paraId="17DA311E" w14:textId="77777777" w:rsidR="00E8234C" w:rsidRDefault="00E8234C" w:rsidP="00E8234C"/>
        </w:tc>
      </w:tr>
      <w:tr w:rsidR="00E8234C" w14:paraId="2E558D81" w14:textId="77777777" w:rsidTr="00E8234C">
        <w:tc>
          <w:tcPr>
            <w:tcW w:w="421" w:type="dxa"/>
          </w:tcPr>
          <w:p w14:paraId="61D0E1A8" w14:textId="57261080" w:rsidR="00E8234C" w:rsidRDefault="00E14D70" w:rsidP="00E8234C">
            <w:r>
              <w:t>5</w:t>
            </w:r>
          </w:p>
        </w:tc>
        <w:tc>
          <w:tcPr>
            <w:tcW w:w="5953" w:type="dxa"/>
          </w:tcPr>
          <w:p w14:paraId="256DD807" w14:textId="79194D13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Możliwość poświadczenia zgodności dokumentu </w:t>
            </w:r>
            <w:proofErr w:type="spellStart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zdigitalizowanego</w:t>
            </w:r>
            <w:proofErr w:type="spellEnd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 z oryginałem przez złożenie podpisu elektronicznego.</w:t>
            </w:r>
          </w:p>
        </w:tc>
        <w:tc>
          <w:tcPr>
            <w:tcW w:w="5954" w:type="dxa"/>
          </w:tcPr>
          <w:p w14:paraId="020550E6" w14:textId="77777777" w:rsidR="00E8234C" w:rsidRDefault="00E8234C" w:rsidP="00E8234C"/>
        </w:tc>
        <w:tc>
          <w:tcPr>
            <w:tcW w:w="1417" w:type="dxa"/>
          </w:tcPr>
          <w:p w14:paraId="20FD3E8E" w14:textId="77777777" w:rsidR="00E8234C" w:rsidRDefault="00E8234C" w:rsidP="00E8234C"/>
        </w:tc>
      </w:tr>
      <w:tr w:rsidR="00E8234C" w14:paraId="3A844752" w14:textId="77777777" w:rsidTr="00E8234C">
        <w:tc>
          <w:tcPr>
            <w:tcW w:w="421" w:type="dxa"/>
          </w:tcPr>
          <w:p w14:paraId="3B60B970" w14:textId="6A53F329" w:rsidR="00E8234C" w:rsidRDefault="00E14D70" w:rsidP="00E8234C">
            <w:r>
              <w:t>6</w:t>
            </w:r>
          </w:p>
        </w:tc>
        <w:tc>
          <w:tcPr>
            <w:tcW w:w="5953" w:type="dxa"/>
          </w:tcPr>
          <w:p w14:paraId="08B6E29F" w14:textId="5AAECF42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Integracja z platformą P1 zgodnie z udostępnioną specyfikacją usług dla dokumentów </w:t>
            </w:r>
            <w:proofErr w:type="spellStart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zdigitalizowanych</w:t>
            </w:r>
            <w:proofErr w:type="spellEnd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4" w:type="dxa"/>
          </w:tcPr>
          <w:p w14:paraId="6B209493" w14:textId="77777777" w:rsidR="00E8234C" w:rsidRDefault="00E8234C" w:rsidP="00E8234C"/>
        </w:tc>
        <w:tc>
          <w:tcPr>
            <w:tcW w:w="1417" w:type="dxa"/>
          </w:tcPr>
          <w:p w14:paraId="5BF0A8B0" w14:textId="77777777" w:rsidR="00E8234C" w:rsidRDefault="00E8234C" w:rsidP="00E8234C"/>
        </w:tc>
      </w:tr>
      <w:tr w:rsidR="00E8234C" w14:paraId="182B7655" w14:textId="77777777" w:rsidTr="00E8234C">
        <w:tc>
          <w:tcPr>
            <w:tcW w:w="421" w:type="dxa"/>
          </w:tcPr>
          <w:p w14:paraId="4232BF34" w14:textId="31A464FB" w:rsidR="00E8234C" w:rsidRDefault="00E14D70" w:rsidP="00E8234C">
            <w:r>
              <w:t>7</w:t>
            </w:r>
          </w:p>
        </w:tc>
        <w:tc>
          <w:tcPr>
            <w:tcW w:w="5953" w:type="dxa"/>
          </w:tcPr>
          <w:p w14:paraId="2FDE0050" w14:textId="7F51EC77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Automatyczna </w:t>
            </w:r>
            <w:proofErr w:type="spellStart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reindeksacja</w:t>
            </w:r>
            <w:proofErr w:type="spellEnd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 dokumentów, dla których ustała przyczyna braku możliwości zaindeksowania (np. </w:t>
            </w: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lastRenderedPageBreak/>
              <w:t>przekazano z opóźnieniem ZM) – proces działający w tle w oparciu o dostarczoną konfigurację.</w:t>
            </w:r>
          </w:p>
        </w:tc>
        <w:tc>
          <w:tcPr>
            <w:tcW w:w="5954" w:type="dxa"/>
          </w:tcPr>
          <w:p w14:paraId="72BECF68" w14:textId="77777777" w:rsidR="00E8234C" w:rsidRDefault="00E8234C" w:rsidP="00E8234C"/>
        </w:tc>
        <w:tc>
          <w:tcPr>
            <w:tcW w:w="1417" w:type="dxa"/>
          </w:tcPr>
          <w:p w14:paraId="1D27BA86" w14:textId="77777777" w:rsidR="00E8234C" w:rsidRDefault="00E8234C" w:rsidP="00E8234C"/>
        </w:tc>
      </w:tr>
      <w:tr w:rsidR="00E8234C" w14:paraId="495D6D09" w14:textId="77777777" w:rsidTr="00E8234C">
        <w:tc>
          <w:tcPr>
            <w:tcW w:w="421" w:type="dxa"/>
          </w:tcPr>
          <w:p w14:paraId="591610DB" w14:textId="0AC2B90B" w:rsidR="00E8234C" w:rsidRDefault="00E14D70" w:rsidP="00E8234C">
            <w:r>
              <w:t>8</w:t>
            </w:r>
          </w:p>
        </w:tc>
        <w:tc>
          <w:tcPr>
            <w:tcW w:w="5953" w:type="dxa"/>
          </w:tcPr>
          <w:p w14:paraId="3E91903A" w14:textId="04E99B1A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Możliwość przebudowy indeksu dokumentu i wysyłki do P1 bez konieczności tworzenia i podpisu nowej wersji dokumentu w przypadku braku ID ZM</w:t>
            </w:r>
          </w:p>
        </w:tc>
        <w:tc>
          <w:tcPr>
            <w:tcW w:w="5954" w:type="dxa"/>
          </w:tcPr>
          <w:p w14:paraId="7156E5C5" w14:textId="77777777" w:rsidR="00E8234C" w:rsidRDefault="00E8234C" w:rsidP="00E8234C"/>
        </w:tc>
        <w:tc>
          <w:tcPr>
            <w:tcW w:w="1417" w:type="dxa"/>
          </w:tcPr>
          <w:p w14:paraId="2DB9BB91" w14:textId="77777777" w:rsidR="00E8234C" w:rsidRDefault="00E8234C" w:rsidP="00E8234C"/>
        </w:tc>
      </w:tr>
      <w:tr w:rsidR="00E8234C" w14:paraId="358EEDEA" w14:textId="77777777" w:rsidTr="00E8234C">
        <w:tc>
          <w:tcPr>
            <w:tcW w:w="421" w:type="dxa"/>
          </w:tcPr>
          <w:p w14:paraId="05653E48" w14:textId="6B4195E3" w:rsidR="00E8234C" w:rsidRDefault="00E14D70" w:rsidP="00E8234C">
            <w:r>
              <w:t>9</w:t>
            </w:r>
          </w:p>
        </w:tc>
        <w:tc>
          <w:tcPr>
            <w:tcW w:w="5953" w:type="dxa"/>
          </w:tcPr>
          <w:p w14:paraId="1812F1F4" w14:textId="10EFF051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Prezentacja wskaźników indeksacji dokumentów oraz listy problemów związanych z indeksacją danych w systemie P1</w:t>
            </w:r>
          </w:p>
        </w:tc>
        <w:tc>
          <w:tcPr>
            <w:tcW w:w="5954" w:type="dxa"/>
          </w:tcPr>
          <w:p w14:paraId="29D8CE0C" w14:textId="77777777" w:rsidR="00E8234C" w:rsidRDefault="00E8234C" w:rsidP="00E8234C"/>
        </w:tc>
        <w:tc>
          <w:tcPr>
            <w:tcW w:w="1417" w:type="dxa"/>
          </w:tcPr>
          <w:p w14:paraId="7D6562DF" w14:textId="77777777" w:rsidR="00E8234C" w:rsidRDefault="00E8234C" w:rsidP="00E8234C"/>
        </w:tc>
      </w:tr>
      <w:tr w:rsidR="00E8234C" w14:paraId="60AB3AF4" w14:textId="77777777" w:rsidTr="00E8234C">
        <w:tc>
          <w:tcPr>
            <w:tcW w:w="421" w:type="dxa"/>
          </w:tcPr>
          <w:p w14:paraId="08C1C4F8" w14:textId="40FEB221" w:rsidR="00E8234C" w:rsidRDefault="00E14D70" w:rsidP="00E8234C">
            <w:r>
              <w:t>10</w:t>
            </w:r>
          </w:p>
        </w:tc>
        <w:tc>
          <w:tcPr>
            <w:tcW w:w="5953" w:type="dxa"/>
          </w:tcPr>
          <w:p w14:paraId="0CAE1458" w14:textId="5FE30BEC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Wskazanie działań naprawczych dla problemów indeksacji dokumentów w P1 i dostęp do funkcjonalności je realizujących</w:t>
            </w:r>
          </w:p>
        </w:tc>
        <w:tc>
          <w:tcPr>
            <w:tcW w:w="5954" w:type="dxa"/>
          </w:tcPr>
          <w:p w14:paraId="0D4F3AEE" w14:textId="77777777" w:rsidR="00E8234C" w:rsidRDefault="00E8234C" w:rsidP="00E8234C"/>
        </w:tc>
        <w:tc>
          <w:tcPr>
            <w:tcW w:w="1417" w:type="dxa"/>
          </w:tcPr>
          <w:p w14:paraId="33947076" w14:textId="77777777" w:rsidR="00E8234C" w:rsidRDefault="00E8234C" w:rsidP="00E8234C"/>
        </w:tc>
      </w:tr>
      <w:tr w:rsidR="00E8234C" w14:paraId="03AD7352" w14:textId="77777777" w:rsidTr="00E8234C">
        <w:tc>
          <w:tcPr>
            <w:tcW w:w="421" w:type="dxa"/>
          </w:tcPr>
          <w:p w14:paraId="158637C4" w14:textId="734601E7" w:rsidR="00E8234C" w:rsidRDefault="00E14D70" w:rsidP="00E8234C">
            <w:r>
              <w:t>11</w:t>
            </w:r>
          </w:p>
        </w:tc>
        <w:tc>
          <w:tcPr>
            <w:tcW w:w="5953" w:type="dxa"/>
          </w:tcPr>
          <w:p w14:paraId="5916268E" w14:textId="244D34ED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Przygotowanie listy dokumentów podlegających indeksowaniu w P1, ale niezaindeksowanych</w:t>
            </w:r>
          </w:p>
        </w:tc>
        <w:tc>
          <w:tcPr>
            <w:tcW w:w="5954" w:type="dxa"/>
          </w:tcPr>
          <w:p w14:paraId="41D1F2F2" w14:textId="77777777" w:rsidR="00E8234C" w:rsidRDefault="00E8234C" w:rsidP="00E8234C"/>
        </w:tc>
        <w:tc>
          <w:tcPr>
            <w:tcW w:w="1417" w:type="dxa"/>
          </w:tcPr>
          <w:p w14:paraId="2E621431" w14:textId="77777777" w:rsidR="00E8234C" w:rsidRDefault="00E8234C" w:rsidP="00E8234C"/>
        </w:tc>
      </w:tr>
      <w:tr w:rsidR="00E8234C" w14:paraId="49A536CC" w14:textId="77777777" w:rsidTr="00E8234C">
        <w:tc>
          <w:tcPr>
            <w:tcW w:w="421" w:type="dxa"/>
          </w:tcPr>
          <w:p w14:paraId="7C6C33BB" w14:textId="798068DE" w:rsidR="00E8234C" w:rsidRDefault="00E14D70" w:rsidP="00E8234C">
            <w:r>
              <w:t>12</w:t>
            </w:r>
          </w:p>
        </w:tc>
        <w:tc>
          <w:tcPr>
            <w:tcW w:w="5953" w:type="dxa"/>
          </w:tcPr>
          <w:p w14:paraId="5E098079" w14:textId="40F439EB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Możliwość zbiorczego importu do systemu HIS zeskanowanych dokumentów kart informacyjnych w formacie pdf i automatycznego ich powiązania z hospitalizacją pacjenta na podstawie nazwy pliku, w oparciu o co najmniej dwie dane identyfikujące hospitalizację/pacjenta.</w:t>
            </w:r>
          </w:p>
        </w:tc>
        <w:tc>
          <w:tcPr>
            <w:tcW w:w="5954" w:type="dxa"/>
          </w:tcPr>
          <w:p w14:paraId="2D927F65" w14:textId="77777777" w:rsidR="00E8234C" w:rsidRDefault="00E8234C" w:rsidP="00E8234C"/>
        </w:tc>
        <w:tc>
          <w:tcPr>
            <w:tcW w:w="1417" w:type="dxa"/>
          </w:tcPr>
          <w:p w14:paraId="682E0C92" w14:textId="77777777" w:rsidR="00E8234C" w:rsidRDefault="00E8234C" w:rsidP="00E8234C"/>
        </w:tc>
      </w:tr>
      <w:tr w:rsidR="00E8234C" w14:paraId="61EC8C34" w14:textId="77777777" w:rsidTr="00E8234C">
        <w:tc>
          <w:tcPr>
            <w:tcW w:w="421" w:type="dxa"/>
          </w:tcPr>
          <w:p w14:paraId="7018CC73" w14:textId="251AE898" w:rsidR="00E8234C" w:rsidRDefault="00E14D70" w:rsidP="00E8234C">
            <w:r>
              <w:t>13</w:t>
            </w:r>
          </w:p>
        </w:tc>
        <w:tc>
          <w:tcPr>
            <w:tcW w:w="5953" w:type="dxa"/>
          </w:tcPr>
          <w:p w14:paraId="02684E51" w14:textId="745ED3B2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Możliwość podglądu raportu ze zbiorczego importu zeskanowanych kart informacyjnych do systemu HIS oraz możliwość uzupełnienia danych wymaganych do rejestracji dokumentu bez konieczności ponownego pobierania skanu, w przypadku, gdy podczas importu nie uda się go powiązać z hospitalizacją pacjenta.</w:t>
            </w:r>
          </w:p>
        </w:tc>
        <w:tc>
          <w:tcPr>
            <w:tcW w:w="5954" w:type="dxa"/>
          </w:tcPr>
          <w:p w14:paraId="76913AAF" w14:textId="77777777" w:rsidR="00E8234C" w:rsidRDefault="00E8234C" w:rsidP="00E8234C"/>
        </w:tc>
        <w:tc>
          <w:tcPr>
            <w:tcW w:w="1417" w:type="dxa"/>
          </w:tcPr>
          <w:p w14:paraId="3C8553CC" w14:textId="77777777" w:rsidR="00E8234C" w:rsidRDefault="00E8234C" w:rsidP="00E8234C"/>
        </w:tc>
      </w:tr>
      <w:tr w:rsidR="00E8234C" w14:paraId="13BAD7BA" w14:textId="77777777" w:rsidTr="00E8234C">
        <w:tc>
          <w:tcPr>
            <w:tcW w:w="421" w:type="dxa"/>
          </w:tcPr>
          <w:p w14:paraId="6186AE34" w14:textId="56A26964" w:rsidR="00E8234C" w:rsidRDefault="00E14D70" w:rsidP="00E8234C">
            <w:r>
              <w:t>14</w:t>
            </w:r>
          </w:p>
        </w:tc>
        <w:tc>
          <w:tcPr>
            <w:tcW w:w="5953" w:type="dxa"/>
          </w:tcPr>
          <w:p w14:paraId="06D5F7BB" w14:textId="74EC4002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Możliwość podglądu skanu dokumentu karty informacyjnej przed ostatecznym etapem digitalizacji dokumentu (potwierdzeniem podpisem zgodności z oryginałem) oraz podczas uzupełniania danych wymaganych do powiązania skanu dokumentu karty informacyjnej z hospitalizacją pacjenta.</w:t>
            </w:r>
          </w:p>
        </w:tc>
        <w:tc>
          <w:tcPr>
            <w:tcW w:w="5954" w:type="dxa"/>
          </w:tcPr>
          <w:p w14:paraId="598D778E" w14:textId="77777777" w:rsidR="00E8234C" w:rsidRDefault="00E8234C" w:rsidP="00E8234C"/>
        </w:tc>
        <w:tc>
          <w:tcPr>
            <w:tcW w:w="1417" w:type="dxa"/>
          </w:tcPr>
          <w:p w14:paraId="23306C63" w14:textId="77777777" w:rsidR="00E8234C" w:rsidRDefault="00E8234C" w:rsidP="00E8234C"/>
        </w:tc>
      </w:tr>
      <w:tr w:rsidR="00E8234C" w14:paraId="6F47F547" w14:textId="77777777" w:rsidTr="00E8234C">
        <w:tc>
          <w:tcPr>
            <w:tcW w:w="421" w:type="dxa"/>
          </w:tcPr>
          <w:p w14:paraId="32FBF816" w14:textId="59F4D2AE" w:rsidR="00E8234C" w:rsidRDefault="00E14D70" w:rsidP="00E8234C">
            <w:r>
              <w:lastRenderedPageBreak/>
              <w:t>15</w:t>
            </w:r>
          </w:p>
        </w:tc>
        <w:tc>
          <w:tcPr>
            <w:tcW w:w="5953" w:type="dxa"/>
          </w:tcPr>
          <w:p w14:paraId="07694268" w14:textId="26607FBE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System musi się integrować z oprogramowaniem obecnie posiadanym przez zamawiającego, tj. AMMS (Producent Asseco Poland S.A.) w aktualnie posiadanej wersji.</w:t>
            </w:r>
          </w:p>
        </w:tc>
        <w:tc>
          <w:tcPr>
            <w:tcW w:w="5954" w:type="dxa"/>
          </w:tcPr>
          <w:p w14:paraId="6C253E29" w14:textId="77777777" w:rsidR="00E8234C" w:rsidRDefault="00E8234C" w:rsidP="00E8234C"/>
        </w:tc>
        <w:tc>
          <w:tcPr>
            <w:tcW w:w="1417" w:type="dxa"/>
          </w:tcPr>
          <w:p w14:paraId="6BCE9571" w14:textId="77777777" w:rsidR="00E8234C" w:rsidRDefault="00E8234C" w:rsidP="00E8234C"/>
        </w:tc>
      </w:tr>
      <w:tr w:rsidR="00E8234C" w14:paraId="20D4E410" w14:textId="77777777" w:rsidTr="00E8234C">
        <w:tc>
          <w:tcPr>
            <w:tcW w:w="421" w:type="dxa"/>
          </w:tcPr>
          <w:p w14:paraId="164FCE70" w14:textId="4F6CCAD5" w:rsidR="00E8234C" w:rsidRDefault="00E14D70" w:rsidP="00E8234C">
            <w:r>
              <w:t>16</w:t>
            </w:r>
          </w:p>
        </w:tc>
        <w:tc>
          <w:tcPr>
            <w:tcW w:w="5953" w:type="dxa"/>
          </w:tcPr>
          <w:p w14:paraId="0EAF5144" w14:textId="5F116EF8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 xml:space="preserve">Zewnętrzne integracje: rozwiązanie obejmuje integrację z systemem P1 w zakresie związanym z obsługą dokumentów </w:t>
            </w:r>
            <w:proofErr w:type="spellStart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zdigitalizowanych</w:t>
            </w:r>
            <w:proofErr w:type="spellEnd"/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4" w:type="dxa"/>
          </w:tcPr>
          <w:p w14:paraId="76CD687B" w14:textId="77777777" w:rsidR="00E8234C" w:rsidRDefault="00E8234C" w:rsidP="00E8234C"/>
        </w:tc>
        <w:tc>
          <w:tcPr>
            <w:tcW w:w="1417" w:type="dxa"/>
          </w:tcPr>
          <w:p w14:paraId="412E1B2A" w14:textId="77777777" w:rsidR="00E8234C" w:rsidRDefault="00E8234C" w:rsidP="00E8234C"/>
        </w:tc>
      </w:tr>
      <w:tr w:rsidR="00E8234C" w14:paraId="580B96CA" w14:textId="77777777" w:rsidTr="00E8234C">
        <w:tc>
          <w:tcPr>
            <w:tcW w:w="421" w:type="dxa"/>
          </w:tcPr>
          <w:p w14:paraId="62465E3E" w14:textId="029C4719" w:rsidR="00E8234C" w:rsidRDefault="00E14D70" w:rsidP="00E8234C">
            <w:r>
              <w:t>17</w:t>
            </w:r>
          </w:p>
        </w:tc>
        <w:tc>
          <w:tcPr>
            <w:tcW w:w="5953" w:type="dxa"/>
          </w:tcPr>
          <w:p w14:paraId="409A6D94" w14:textId="3ADAFCDB" w:rsidR="00E8234C" w:rsidRDefault="00E8234C" w:rsidP="00E8234C">
            <w:pPr>
              <w:jc w:val="center"/>
            </w:pPr>
            <w:r w:rsidRPr="00A37704">
              <w:rPr>
                <w:rFonts w:ascii="Arial" w:eastAsia="Aptos" w:hAnsi="Arial" w:cs="Arial"/>
                <w:color w:val="000000" w:themeColor="text1"/>
                <w:sz w:val="22"/>
                <w:szCs w:val="22"/>
              </w:rPr>
              <w:t>Zależności między modułami: funkcjonalność opiera się na systemie HIS zintegrowanym z repozytorium EDM oraz komponentem odpowiedzialnym za komunikację z P1.</w:t>
            </w:r>
          </w:p>
        </w:tc>
        <w:tc>
          <w:tcPr>
            <w:tcW w:w="5954" w:type="dxa"/>
          </w:tcPr>
          <w:p w14:paraId="7F6AA6AC" w14:textId="77777777" w:rsidR="00E8234C" w:rsidRDefault="00E8234C" w:rsidP="00E8234C"/>
        </w:tc>
        <w:tc>
          <w:tcPr>
            <w:tcW w:w="1417" w:type="dxa"/>
          </w:tcPr>
          <w:p w14:paraId="39890181" w14:textId="77777777" w:rsidR="00E8234C" w:rsidRDefault="00E8234C" w:rsidP="00E8234C"/>
        </w:tc>
      </w:tr>
    </w:tbl>
    <w:p w14:paraId="78FEFA1A" w14:textId="77777777" w:rsidR="0099319D" w:rsidRDefault="0099319D"/>
    <w:p w14:paraId="43DED33D" w14:textId="77777777" w:rsidR="0062699B" w:rsidRPr="0062699B" w:rsidRDefault="0062699B" w:rsidP="0062699B">
      <w:pPr>
        <w:tabs>
          <w:tab w:val="left" w:pos="993"/>
        </w:tabs>
        <w:spacing w:after="0" w:line="240" w:lineRule="auto"/>
        <w:jc w:val="both"/>
        <w:rPr>
          <w:rFonts w:ascii="Arial" w:eastAsia="Aptos" w:hAnsi="Arial" w:cs="Arial"/>
          <w:b/>
          <w:bCs/>
          <w:color w:val="000000"/>
          <w:kern w:val="0"/>
          <w:sz w:val="22"/>
          <w:szCs w:val="22"/>
          <w:u w:val="single"/>
          <w14:ligatures w14:val="none"/>
        </w:rPr>
      </w:pPr>
      <w:r w:rsidRPr="0062699B">
        <w:rPr>
          <w:rFonts w:ascii="Arial" w:eastAsia="Aptos" w:hAnsi="Arial" w:cs="Arial"/>
          <w:b/>
          <w:bCs/>
          <w:color w:val="000000"/>
          <w:kern w:val="0"/>
          <w:sz w:val="22"/>
          <w:szCs w:val="22"/>
          <w:u w:val="single"/>
          <w14:ligatures w14:val="none"/>
        </w:rPr>
        <w:t>Wymagania ogólne dla Wykonawcy:</w:t>
      </w:r>
    </w:p>
    <w:p w14:paraId="565A90FE" w14:textId="77777777" w:rsidR="0062699B" w:rsidRPr="0062699B" w:rsidRDefault="0062699B" w:rsidP="0062699B">
      <w:pPr>
        <w:tabs>
          <w:tab w:val="left" w:pos="993"/>
        </w:tabs>
        <w:spacing w:after="0" w:line="240" w:lineRule="auto"/>
        <w:jc w:val="both"/>
        <w:rPr>
          <w:rFonts w:ascii="Arial" w:eastAsia="Aptos" w:hAnsi="Arial" w:cs="Arial"/>
          <w:color w:val="000000"/>
          <w:kern w:val="0"/>
          <w:sz w:val="22"/>
          <w:szCs w:val="22"/>
          <w14:ligatures w14:val="none"/>
        </w:rPr>
      </w:pPr>
    </w:p>
    <w:p w14:paraId="6B794533" w14:textId="77777777" w:rsidR="0062699B" w:rsidRPr="0062699B" w:rsidRDefault="0062699B" w:rsidP="0062699B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Wykonawca zobowiązany jest do stosowania najlepszych praktyk związanych z bezpieczeństwem informacji, zarządzaniem incydentami oraz ciągłością działania.</w:t>
      </w:r>
    </w:p>
    <w:p w14:paraId="2660A912" w14:textId="77777777" w:rsidR="0062699B" w:rsidRPr="0062699B" w:rsidRDefault="0062699B" w:rsidP="0062699B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W zakresie komponentów oraz funkcjonalności dostarczanych przez Wykonawcę, komponenty muszą zapewniać ochronę poufności, integralności i dostępności danych oraz uwzględniać mechanizmy zarządzania dostępem, logowania i szyfrowania transmisji. Wymagania te nie dotyczą funkcjonalności realizowanych przez systemy lub rozwiązania podmiotów trzecich, pozostające poza zakresem dostawy Wykonawcy.</w:t>
      </w:r>
    </w:p>
    <w:p w14:paraId="6542CE9C" w14:textId="77777777" w:rsidR="0062699B" w:rsidRPr="0062699B" w:rsidRDefault="0062699B" w:rsidP="0062699B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System oraz wszelkie przekazywane oprogramowanie i komponenty muszą spełniać wymagania:</w:t>
      </w:r>
    </w:p>
    <w:p w14:paraId="4EFD23EB" w14:textId="77777777" w:rsidR="0062699B" w:rsidRPr="0062699B" w:rsidRDefault="0062699B" w:rsidP="0062699B">
      <w:pPr>
        <w:numPr>
          <w:ilvl w:val="1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Rozporządzenia KRI oraz ustawy o krajowym systemie </w:t>
      </w:r>
      <w:proofErr w:type="spellStart"/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cyberbezpieczeństwa</w:t>
      </w:r>
      <w:proofErr w:type="spellEnd"/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.</w:t>
      </w:r>
    </w:p>
    <w:p w14:paraId="6057C1C4" w14:textId="77777777" w:rsidR="0062699B" w:rsidRPr="0062699B" w:rsidRDefault="0062699B" w:rsidP="0062699B">
      <w:pPr>
        <w:numPr>
          <w:ilvl w:val="1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RODO (rozporządzenie 2016/679 UE) oraz ustawy o ochronie danych osobowych.</w:t>
      </w:r>
    </w:p>
    <w:p w14:paraId="21B15C6A" w14:textId="77777777" w:rsidR="0062699B" w:rsidRPr="0062699B" w:rsidRDefault="0062699B" w:rsidP="0062699B">
      <w:pPr>
        <w:numPr>
          <w:ilvl w:val="1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W przypadku przetwarzania innych danych – dodatkowych właściwych aktów prawnych.</w:t>
      </w:r>
    </w:p>
    <w:p w14:paraId="2C330AAD" w14:textId="77777777" w:rsidR="0062699B" w:rsidRPr="0062699B" w:rsidRDefault="0062699B" w:rsidP="0062699B">
      <w:pPr>
        <w:numPr>
          <w:ilvl w:val="1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Interoperacyjności systemów teleinformatycznych, w ramach oferowanej ceny, zgodnie z:</w:t>
      </w:r>
    </w:p>
    <w:p w14:paraId="3D2D6338" w14:textId="77777777" w:rsidR="0062699B" w:rsidRPr="0062699B" w:rsidRDefault="0062699B" w:rsidP="0062699B">
      <w:pPr>
        <w:numPr>
          <w:ilvl w:val="2"/>
          <w:numId w:val="2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ustawą z dnia 17 lutego 2005 roku o informatyzacji działalności podmiotów realizujących zadania publiczne (Dz.U.  z 2024 r. poz. 1557 z </w:t>
      </w:r>
      <w:proofErr w:type="spellStart"/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późn</w:t>
      </w:r>
      <w:proofErr w:type="spellEnd"/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. zm.); </w:t>
      </w:r>
    </w:p>
    <w:p w14:paraId="1144230E" w14:textId="77777777" w:rsidR="0062699B" w:rsidRPr="0062699B" w:rsidRDefault="0062699B" w:rsidP="0062699B">
      <w:pPr>
        <w:numPr>
          <w:ilvl w:val="2"/>
          <w:numId w:val="2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Rozporządzeniem Rady Ministrów z dnia 21 maja 2024 r. w sprawie Krajowych Ram Interoperacyjności, minimalnych wymagań dla rejestrów publicznych i wymiany informacji w postaci elektronicznej oraz minimalnych wymagań dla systemów teleinformatycznych (Dz.U. poz. 773); </w:t>
      </w:r>
    </w:p>
    <w:p w14:paraId="7E017D0A" w14:textId="77777777" w:rsidR="0062699B" w:rsidRPr="0062699B" w:rsidRDefault="0062699B" w:rsidP="0062699B">
      <w:pPr>
        <w:numPr>
          <w:ilvl w:val="2"/>
          <w:numId w:val="2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ustawą z dnia 28 kwietnia 2011 r. o systemie informacji w ochronie zdrowia (Dz.U. z 2023 r. poz. 2465 z późn.zm.); </w:t>
      </w:r>
    </w:p>
    <w:p w14:paraId="1A26E83D" w14:textId="77777777" w:rsidR="0062699B" w:rsidRPr="0062699B" w:rsidRDefault="0062699B" w:rsidP="0062699B">
      <w:pPr>
        <w:numPr>
          <w:ilvl w:val="2"/>
          <w:numId w:val="2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minimalnymi wymaganiami dla systemów określonych w treści art. 8a ustawy z dnia 28 kwietnia 2011 r. o systemie informacji w ochronie zdrowia (Dz.U. </w:t>
      </w:r>
      <w:proofErr w:type="spellStart"/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j.w</w:t>
      </w:r>
      <w:proofErr w:type="spellEnd"/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.);</w:t>
      </w:r>
    </w:p>
    <w:p w14:paraId="61A82C86" w14:textId="77777777" w:rsidR="0062699B" w:rsidRPr="0062699B" w:rsidRDefault="0062699B" w:rsidP="0062699B">
      <w:pPr>
        <w:numPr>
          <w:ilvl w:val="1"/>
          <w:numId w:val="2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lastRenderedPageBreak/>
        <w:t>Zapewnienia możliwości eksportu i importu danych, w szczególności poprzez udostępnienie otwartych interfejsów oraz dokumentacji pozwalającej na przeprowadzenie procesu eksportu i importu danych, w tym specyfikację danych, które są przedmiotem wymiany, zgodnie z zapotrzebowaniem danego szpitala.</w:t>
      </w:r>
    </w:p>
    <w:p w14:paraId="0BC0EBA5" w14:textId="77777777" w:rsidR="0062699B" w:rsidRPr="0062699B" w:rsidRDefault="0062699B" w:rsidP="0062699B">
      <w:pPr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Musi być zapewniona możliwość pracy wielostanowiskowej oraz wsparcie dla otwartych protokołów integracyjnych (API, </w:t>
      </w:r>
      <w:proofErr w:type="spellStart"/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webserwisy</w:t>
      </w:r>
      <w:proofErr w:type="spellEnd"/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itp.) zgodnie z rozporządzeniem o minimalnych wymaganiach dla systemów teleinformatycznych.</w:t>
      </w:r>
    </w:p>
    <w:p w14:paraId="031CE00D" w14:textId="77777777" w:rsidR="0062699B" w:rsidRDefault="0062699B" w:rsidP="0062699B">
      <w:pPr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62699B">
        <w:rPr>
          <w:rFonts w:ascii="Arial" w:eastAsia="Times New Roman" w:hAnsi="Arial" w:cs="Arial"/>
          <w:kern w:val="0"/>
          <w:sz w:val="22"/>
          <w:szCs w:val="22"/>
          <w14:ligatures w14:val="none"/>
        </w:rPr>
        <w:t>Zamawiający nie przewiduje tworzenia nowego oprogramowania od podstaw. Przedmiotem zamówienia jest rozszerzenie funkcjonalności istniejącego systemu HIS oraz jego integracja z P1. Kody źródłowe pozostają własnością producenta systemu, z zachowaniem praw licencyjnych Zamawiającego.</w:t>
      </w:r>
    </w:p>
    <w:p w14:paraId="1E43CB55" w14:textId="77777777" w:rsidR="0062699B" w:rsidRPr="0062699B" w:rsidRDefault="0062699B" w:rsidP="0062699B">
      <w:pPr>
        <w:tabs>
          <w:tab w:val="left" w:pos="993"/>
        </w:tabs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974F46E" w14:textId="77777777" w:rsidR="0062699B" w:rsidRPr="0062699B" w:rsidRDefault="0062699B" w:rsidP="0062699B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62699B">
        <w:rPr>
          <w:rFonts w:ascii="Arial" w:hAnsi="Arial" w:cs="Arial"/>
          <w:b/>
          <w:bCs/>
          <w:sz w:val="22"/>
          <w:szCs w:val="22"/>
          <w:u w:val="single"/>
        </w:rPr>
        <w:t xml:space="preserve">Kryteria odbioru </w:t>
      </w:r>
    </w:p>
    <w:p w14:paraId="4B537CB7" w14:textId="56D1F767" w:rsidR="0062699B" w:rsidRPr="0062699B" w:rsidRDefault="0062699B" w:rsidP="0062699B">
      <w:pPr>
        <w:rPr>
          <w:rFonts w:ascii="Arial" w:hAnsi="Arial" w:cs="Arial"/>
          <w:sz w:val="22"/>
          <w:szCs w:val="22"/>
        </w:rPr>
      </w:pPr>
      <w:r w:rsidRPr="0062699B">
        <w:rPr>
          <w:rFonts w:ascii="Arial" w:hAnsi="Arial" w:cs="Arial"/>
          <w:sz w:val="22"/>
          <w:szCs w:val="22"/>
        </w:rPr>
        <w:t>Zamawiający uzna przedmiot umowy za należycie wykonany i dokona jego odbioru, na podstawie dokumentu potwierdzającego poprawne zaindeksowane w systemie P1 lub umieszczone w centralnym repozytorium danych medycznych w Centrum e-Zdrowia, co najmniej w zakresie wymuszenia wysyłki indeksu dokumentu EDM do systemu P1 z poziomu GUI.</w:t>
      </w:r>
    </w:p>
    <w:p w14:paraId="230477C2" w14:textId="77777777" w:rsidR="0062699B" w:rsidRPr="004D0EA6" w:rsidRDefault="0062699B" w:rsidP="0062699B">
      <w:p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b/>
          <w:bCs/>
          <w:sz w:val="22"/>
          <w:szCs w:val="22"/>
          <w:u w:val="single"/>
        </w:rPr>
      </w:pPr>
      <w:bookmarkStart w:id="0" w:name="_Hlk216101804"/>
      <w:r w:rsidRPr="004D0EA6">
        <w:rPr>
          <w:rFonts w:ascii="Arial" w:eastAsiaTheme="minorEastAsia" w:hAnsi="Arial" w:cs="Arial"/>
          <w:b/>
          <w:bCs/>
          <w:sz w:val="22"/>
          <w:szCs w:val="22"/>
          <w:u w:val="single"/>
        </w:rPr>
        <w:t>Warunki licenc</w:t>
      </w:r>
      <w:bookmarkEnd w:id="0"/>
      <w:r w:rsidRPr="004D0EA6">
        <w:rPr>
          <w:rFonts w:ascii="Arial" w:eastAsiaTheme="minorEastAsia" w:hAnsi="Arial" w:cs="Arial"/>
          <w:b/>
          <w:bCs/>
          <w:sz w:val="22"/>
          <w:szCs w:val="22"/>
          <w:u w:val="single"/>
        </w:rPr>
        <w:t>ji</w:t>
      </w:r>
    </w:p>
    <w:p w14:paraId="7D731C5F" w14:textId="77777777" w:rsidR="0062699B" w:rsidRPr="004D0EA6" w:rsidRDefault="0062699B" w:rsidP="0062699B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 xml:space="preserve">Wykonawca udziela Zamawiającemu z chwilą odbioru przedmiotu umowy nieprzenoszalnego, bezterminowego prawa (licencji) na korzystanie z oprogramowania. Korzystać z oprogramowania Zamawiający może jedynie w celu związanym z prowadzeniem działalności gospodarczej w jednostkach organizacyjnych Zamawiającego ograniczone terytorialnie do terytorium Rzeczypospolitej Polskiej, co potwierdza </w:t>
      </w:r>
      <w:r w:rsidRPr="004D0EA6">
        <w:rPr>
          <w:rFonts w:ascii="Arial" w:hAnsi="Arial" w:cs="Arial"/>
          <w:sz w:val="22"/>
          <w:szCs w:val="22"/>
        </w:rPr>
        <w:t>certyfikat licencyjny wystawiony przez producenta Oprogramowania (dopuszczalna forma papierowa lub elektroniczna.</w:t>
      </w:r>
    </w:p>
    <w:p w14:paraId="441472FB" w14:textId="77777777" w:rsidR="0062699B" w:rsidRPr="004D0EA6" w:rsidRDefault="0062699B" w:rsidP="0062699B">
      <w:pPr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>Licencja uprawnia Zamawiającego do:</w:t>
      </w:r>
    </w:p>
    <w:p w14:paraId="5F8BD46F" w14:textId="77777777" w:rsidR="0062699B" w:rsidRPr="004D0EA6" w:rsidRDefault="0062699B" w:rsidP="0062699B">
      <w:pPr>
        <w:numPr>
          <w:ilvl w:val="1"/>
          <w:numId w:val="7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 xml:space="preserve">zwielokrotniania Oprogramowania w pamięci komputerów i korzystanie z Oprogramowania przez uprawnionych użytkowników; </w:t>
      </w:r>
    </w:p>
    <w:p w14:paraId="12618A95" w14:textId="77777777" w:rsidR="0062699B" w:rsidRPr="004D0EA6" w:rsidRDefault="0062699B" w:rsidP="0062699B">
      <w:pPr>
        <w:numPr>
          <w:ilvl w:val="1"/>
          <w:numId w:val="7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>instalacji na wskazanej Infrastrukturze Zamawiającego;</w:t>
      </w:r>
    </w:p>
    <w:p w14:paraId="430E2AF4" w14:textId="77777777" w:rsidR="0062699B" w:rsidRPr="004D0EA6" w:rsidRDefault="0062699B" w:rsidP="0062699B">
      <w:pPr>
        <w:numPr>
          <w:ilvl w:val="1"/>
          <w:numId w:val="7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>instalacji na serwerze sieciowym z udostępnieniem dla uprawnionych użytkowników;</w:t>
      </w:r>
    </w:p>
    <w:p w14:paraId="1192AEA8" w14:textId="77777777" w:rsidR="0062699B" w:rsidRPr="004D0EA6" w:rsidRDefault="0062699B" w:rsidP="0062699B">
      <w:pPr>
        <w:numPr>
          <w:ilvl w:val="1"/>
          <w:numId w:val="7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>sporządzenia kopii zapasowej (-</w:t>
      </w:r>
      <w:proofErr w:type="spellStart"/>
      <w:r w:rsidRPr="004D0EA6">
        <w:rPr>
          <w:rFonts w:ascii="Arial" w:eastAsiaTheme="minorEastAsia" w:hAnsi="Arial" w:cs="Arial"/>
          <w:sz w:val="22"/>
          <w:szCs w:val="22"/>
        </w:rPr>
        <w:t>ych</w:t>
      </w:r>
      <w:proofErr w:type="spellEnd"/>
      <w:r w:rsidRPr="004D0EA6">
        <w:rPr>
          <w:rFonts w:ascii="Arial" w:eastAsiaTheme="minorEastAsia" w:hAnsi="Arial" w:cs="Arial"/>
          <w:sz w:val="22"/>
          <w:szCs w:val="22"/>
        </w:rPr>
        <w:t>) każdego nośnika Oprogramowania;</w:t>
      </w:r>
    </w:p>
    <w:p w14:paraId="4343189B" w14:textId="77777777" w:rsidR="0062699B" w:rsidRPr="004D0EA6" w:rsidRDefault="0062699B" w:rsidP="0062699B">
      <w:pPr>
        <w:numPr>
          <w:ilvl w:val="1"/>
          <w:numId w:val="7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>korzystania ze starszych wersji oprogramowania.</w:t>
      </w:r>
    </w:p>
    <w:p w14:paraId="0013C748" w14:textId="77777777" w:rsidR="0062699B" w:rsidRPr="004D0EA6" w:rsidRDefault="0062699B" w:rsidP="0062699B">
      <w:pPr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>Zamawiający nie jest uprawniony do udzielania sublicencji na Oprogramowanie.</w:t>
      </w:r>
    </w:p>
    <w:p w14:paraId="11D0C7E3" w14:textId="77777777" w:rsidR="0062699B" w:rsidRPr="004D0EA6" w:rsidRDefault="0062699B" w:rsidP="0062699B">
      <w:pPr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 xml:space="preserve">Licencje muszą gwarantować archiwizację, backup, testy oraz </w:t>
      </w:r>
      <w:proofErr w:type="spellStart"/>
      <w:r w:rsidRPr="004D0EA6">
        <w:rPr>
          <w:rFonts w:ascii="Arial" w:eastAsiaTheme="minorEastAsia" w:hAnsi="Arial" w:cs="Arial"/>
          <w:sz w:val="22"/>
          <w:szCs w:val="22"/>
        </w:rPr>
        <w:t>reinstalację</w:t>
      </w:r>
      <w:proofErr w:type="spellEnd"/>
      <w:r w:rsidRPr="004D0EA6">
        <w:rPr>
          <w:rFonts w:ascii="Arial" w:eastAsiaTheme="minorEastAsia" w:hAnsi="Arial" w:cs="Arial"/>
          <w:sz w:val="22"/>
          <w:szCs w:val="22"/>
        </w:rPr>
        <w:t xml:space="preserve"> na innych urządzeniach Zamawiającego bez dodatkowych opłat. </w:t>
      </w:r>
    </w:p>
    <w:p w14:paraId="119101D2" w14:textId="77777777" w:rsidR="0062699B" w:rsidRPr="004D0EA6" w:rsidRDefault="0062699B" w:rsidP="0062699B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sz w:val="22"/>
          <w:szCs w:val="22"/>
        </w:rPr>
      </w:pPr>
      <w:r w:rsidRPr="004D0EA6">
        <w:rPr>
          <w:rFonts w:ascii="Arial" w:hAnsi="Arial" w:cs="Arial"/>
          <w:sz w:val="22"/>
          <w:szCs w:val="22"/>
        </w:rPr>
        <w:t>Licencje zawarte na nośniku instalacyjnym Oprogramowania lub udostępnione w formie elektronicznej.</w:t>
      </w:r>
    </w:p>
    <w:p w14:paraId="02FF98D2" w14:textId="77777777" w:rsidR="0062699B" w:rsidRPr="004D0EA6" w:rsidRDefault="0062699B" w:rsidP="0062699B">
      <w:p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b/>
          <w:bCs/>
          <w:sz w:val="22"/>
          <w:szCs w:val="22"/>
          <w:u w:val="single"/>
        </w:rPr>
      </w:pPr>
      <w:r w:rsidRPr="004D0EA6">
        <w:rPr>
          <w:rFonts w:ascii="Arial" w:eastAsiaTheme="minorEastAsia" w:hAnsi="Arial" w:cs="Arial"/>
          <w:b/>
          <w:bCs/>
          <w:sz w:val="22"/>
          <w:szCs w:val="22"/>
          <w:u w:val="single"/>
        </w:rPr>
        <w:t>Warunki gwarancji</w:t>
      </w:r>
    </w:p>
    <w:p w14:paraId="2296752B" w14:textId="77777777" w:rsidR="0062699B" w:rsidRPr="004D0EA6" w:rsidRDefault="0062699B" w:rsidP="0062699B">
      <w:p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b/>
          <w:bCs/>
          <w:sz w:val="22"/>
          <w:szCs w:val="22"/>
        </w:rPr>
      </w:pPr>
      <w:r w:rsidRPr="004D0EA6">
        <w:rPr>
          <w:rFonts w:ascii="Arial" w:hAnsi="Arial" w:cs="Arial"/>
          <w:sz w:val="22"/>
          <w:szCs w:val="22"/>
        </w:rPr>
        <w:lastRenderedPageBreak/>
        <w:t>Wszelkie czynności zapewniające poprawne działanie oprogramowania i realizowane w ramach gwarancji nie stanowią podstaw do dodatkowego wynagrodzenia.</w:t>
      </w:r>
    </w:p>
    <w:p w14:paraId="0119C1D8" w14:textId="77777777" w:rsidR="0062699B" w:rsidRPr="004D0EA6" w:rsidRDefault="0062699B" w:rsidP="0062699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>Zakres gwarancji</w:t>
      </w:r>
    </w:p>
    <w:p w14:paraId="542E3DDB" w14:textId="26FDCEA5" w:rsidR="0062699B" w:rsidRPr="004D0EA6" w:rsidRDefault="0062699B" w:rsidP="0062699B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 xml:space="preserve">w okresie 3 lat od dnia podpisania końcowego protokołu odbioru wykonawca zapewni prawidłowe funkcjonowanie </w:t>
      </w:r>
      <w:r w:rsidR="001422A0">
        <w:rPr>
          <w:rFonts w:ascii="Arial" w:eastAsia="Times New Roman" w:hAnsi="Arial" w:cs="Arial"/>
          <w:sz w:val="22"/>
          <w:szCs w:val="22"/>
          <w:lang w:eastAsia="pl-PL"/>
        </w:rPr>
        <w:t>o</w:t>
      </w:r>
      <w:r w:rsidRPr="004D0EA6">
        <w:rPr>
          <w:rFonts w:ascii="Arial" w:eastAsia="Times New Roman" w:hAnsi="Arial" w:cs="Arial"/>
          <w:sz w:val="22"/>
          <w:szCs w:val="22"/>
          <w:lang w:eastAsia="pl-PL"/>
        </w:rPr>
        <w:t>programowania w szczególności w przypadku: zmian przepisów prawnych, zmian struktury organizacyjnej, zmian infrastruktury informatycznej poprzez dostarczanie aktualizacji, poprawek bezpieczeństwa oraz nowych wersji oprogramowania w okresie gwarancji,</w:t>
      </w:r>
    </w:p>
    <w:p w14:paraId="0D07D1DB" w14:textId="77777777" w:rsidR="0062699B" w:rsidRPr="004D0EA6" w:rsidRDefault="0062699B" w:rsidP="0062699B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>pomoc w rozwiązywaniu problemów technicznych dotyczących dostarczonego oprogramowania,</w:t>
      </w:r>
    </w:p>
    <w:p w14:paraId="000A6E98" w14:textId="77777777" w:rsidR="0062699B" w:rsidRPr="004D0EA6" w:rsidRDefault="0062699B" w:rsidP="0062699B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>konsultacje techniczne w zakresie konfiguracji, optymalizacji i bezpieczeństwa systemów,</w:t>
      </w:r>
    </w:p>
    <w:p w14:paraId="2B415AE4" w14:textId="77777777" w:rsidR="0062699B" w:rsidRPr="004D0EA6" w:rsidRDefault="0062699B" w:rsidP="0062699B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>dostęp do dokumentacji technicznej, portalu wsparcia oraz infolinii serwisowej,</w:t>
      </w:r>
    </w:p>
    <w:p w14:paraId="0548B3FA" w14:textId="77777777" w:rsidR="0062699B" w:rsidRPr="004D0EA6" w:rsidRDefault="0062699B" w:rsidP="0062699B">
      <w:pPr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>rozwiązywanie sytuacji awaryjnych poprzez wykonywanie na podstawie zleceń Zamawiającego czynności niezbędnych do zapewnienia prawidłowego działania Oprogramowania</w:t>
      </w:r>
    </w:p>
    <w:p w14:paraId="512D2216" w14:textId="77777777" w:rsidR="0062699B" w:rsidRPr="004D0EA6" w:rsidRDefault="0062699B" w:rsidP="0062699B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 xml:space="preserve">Czasy reakcji i </w:t>
      </w:r>
      <w:bookmarkStart w:id="1" w:name="_Hlk217908604"/>
      <w:r w:rsidRPr="004D0EA6">
        <w:rPr>
          <w:rFonts w:ascii="Arial" w:eastAsia="Times New Roman" w:hAnsi="Arial" w:cs="Arial"/>
          <w:sz w:val="22"/>
          <w:szCs w:val="22"/>
          <w:lang w:eastAsia="pl-PL"/>
        </w:rPr>
        <w:t>udostępnienia korekt oprogramowania</w:t>
      </w:r>
      <w:bookmarkEnd w:id="1"/>
      <w:r w:rsidRPr="004D0EA6">
        <w:rPr>
          <w:rFonts w:ascii="Arial" w:eastAsia="Times New Roman" w:hAnsi="Arial" w:cs="Arial"/>
          <w:sz w:val="22"/>
          <w:szCs w:val="22"/>
          <w:lang w:eastAsia="pl-PL"/>
        </w:rPr>
        <w:t xml:space="preserve"> (SLA):</w:t>
      </w:r>
    </w:p>
    <w:p w14:paraId="4B817C89" w14:textId="77777777" w:rsidR="0062699B" w:rsidRPr="004D0EA6" w:rsidRDefault="0062699B" w:rsidP="0062699B">
      <w:pPr>
        <w:pStyle w:val="Akapitzlist"/>
        <w:numPr>
          <w:ilvl w:val="1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>w przypadku błędu krytycznego oprogramowania:</w:t>
      </w:r>
    </w:p>
    <w:p w14:paraId="419365BE" w14:textId="77777777" w:rsidR="0062699B" w:rsidRPr="004D0EA6" w:rsidRDefault="0062699B" w:rsidP="0062699B">
      <w:pPr>
        <w:pStyle w:val="Akapitzlist"/>
        <w:numPr>
          <w:ilvl w:val="2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>czas reakcji Wykonawcy na zgłoszenie Zamawiającego (tj. czas od otrzymania zgłoszenia do chwili podjęcia przez Wykonawcę czynności zmierzających do naprawy zgłoszonego błędu krytycznego oprogramowania) wynosi 1 dzień roboczy;</w:t>
      </w:r>
    </w:p>
    <w:p w14:paraId="4EB2F8EC" w14:textId="77777777" w:rsidR="0062699B" w:rsidRPr="004D0EA6" w:rsidRDefault="0062699B" w:rsidP="0062699B">
      <w:pPr>
        <w:pStyle w:val="Akapitzlist"/>
        <w:numPr>
          <w:ilvl w:val="2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 xml:space="preserve">czas udostępnienia Zamawiającemu odpowiednich poprawek oprogramowania wyniesie do 3 dni roboczych od chwili rozpoczęcia czynności serwisowych; </w:t>
      </w:r>
    </w:p>
    <w:p w14:paraId="430459D7" w14:textId="77777777" w:rsidR="0062699B" w:rsidRPr="004D0EA6" w:rsidRDefault="0062699B" w:rsidP="0062699B">
      <w:pPr>
        <w:pStyle w:val="Akapitzlist"/>
        <w:numPr>
          <w:ilvl w:val="2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 xml:space="preserve">w przypadku wystąpienia błędu krytycznego oprogramowania Wykonawca może wprowadzić tzw. rozwiązanie tymczasowe, doraźnie rozwiązujące problem błędu krytycznego oprogramowania; w takim przypadku dalsza obsługa usunięcia dotychczasowego błędu krytycznego oprogramowania będzie traktowana jako błąd zwykły oprogramowania; </w:t>
      </w:r>
    </w:p>
    <w:p w14:paraId="18F75A5C" w14:textId="77777777" w:rsidR="0062699B" w:rsidRPr="004D0EA6" w:rsidRDefault="0062699B" w:rsidP="0062699B">
      <w:pPr>
        <w:pStyle w:val="Akapitzlist"/>
        <w:numPr>
          <w:ilvl w:val="1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>w pozostałych przypadkach, określanych jako błędy zwykłe oprogramowania:</w:t>
      </w:r>
    </w:p>
    <w:p w14:paraId="64523950" w14:textId="77777777" w:rsidR="0062699B" w:rsidRPr="004D0EA6" w:rsidRDefault="0062699B" w:rsidP="0062699B">
      <w:pPr>
        <w:pStyle w:val="Akapitzlist"/>
        <w:numPr>
          <w:ilvl w:val="2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>czas reakcji Wykonawcy na zgłoszenie Zamawiającego (tj. czas od otrzymania zgłoszenia do chwili podjęcia przez Wykonawcę czynności zmierzających do naprawy zgłoszonego błędu zwykłego oprogramowania) wynosi do 15 dni roboczych, a czas udostępnienia Zamawiającemu odpowiednich poprawek oprogramowania wyniesie do 60 dni roboczych od chwili rozpoczęcia czynności serwisowych;</w:t>
      </w:r>
    </w:p>
    <w:p w14:paraId="416D8D40" w14:textId="77777777" w:rsidR="0062699B" w:rsidRPr="004D0EA6" w:rsidRDefault="0062699B" w:rsidP="0062699B">
      <w:pPr>
        <w:pStyle w:val="Akapitzlist"/>
        <w:numPr>
          <w:ilvl w:val="0"/>
          <w:numId w:val="5"/>
        </w:numPr>
        <w:tabs>
          <w:tab w:val="clear" w:pos="720"/>
          <w:tab w:val="num" w:pos="851"/>
        </w:tabs>
        <w:spacing w:before="60" w:beforeAutospacing="1" w:after="0" w:afterAutospacing="1" w:line="24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D0EA6">
        <w:rPr>
          <w:rFonts w:ascii="Arial" w:eastAsia="Times New Roman" w:hAnsi="Arial" w:cs="Arial"/>
          <w:sz w:val="22"/>
          <w:szCs w:val="22"/>
          <w:lang w:eastAsia="pl-PL"/>
        </w:rPr>
        <w:t>Zamawiający dopuszcza wykonanie usług gwarancji w ramach zdalnego dostępu do baz danych i oprogramowania na zasadach określonych w Umowie.</w:t>
      </w:r>
    </w:p>
    <w:p w14:paraId="22D0AC44" w14:textId="77777777" w:rsidR="0062699B" w:rsidRPr="004D0EA6" w:rsidRDefault="0062699B" w:rsidP="0062699B">
      <w:pPr>
        <w:pStyle w:val="Akapitzlist"/>
        <w:numPr>
          <w:ilvl w:val="0"/>
          <w:numId w:val="5"/>
        </w:numPr>
        <w:tabs>
          <w:tab w:val="clear" w:pos="720"/>
        </w:tabs>
        <w:spacing w:before="60" w:beforeAutospacing="1" w:after="0" w:afterAutospacing="1" w:line="24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D0EA6">
        <w:rPr>
          <w:rFonts w:ascii="Arial" w:hAnsi="Arial" w:cs="Arial"/>
          <w:sz w:val="22"/>
          <w:szCs w:val="22"/>
        </w:rPr>
        <w:t>Wykonawca udostępni Zamawiającemu system zgłoszeń (działający w dni robocze w godzinach 8.00-16.00, każde zgłoszenie poza wskazanymi godzinami będzie traktowane jako przesłane następnego dnia roboczego).</w:t>
      </w:r>
    </w:p>
    <w:p w14:paraId="3A6D6247" w14:textId="77777777" w:rsidR="0062699B" w:rsidRPr="004D0EA6" w:rsidRDefault="0062699B" w:rsidP="0062699B">
      <w:pPr>
        <w:pStyle w:val="Akapitzlist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16012C4" w14:textId="77777777" w:rsidR="0062699B" w:rsidRPr="004D0EA6" w:rsidRDefault="0062699B" w:rsidP="0062699B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D0EA6">
        <w:rPr>
          <w:rFonts w:ascii="Arial" w:hAnsi="Arial" w:cs="Arial"/>
          <w:b/>
          <w:bCs/>
          <w:sz w:val="22"/>
          <w:szCs w:val="22"/>
          <w:u w:val="single"/>
        </w:rPr>
        <w:lastRenderedPageBreak/>
        <w:t>Definicje użyte w dokumencie:</w:t>
      </w:r>
    </w:p>
    <w:p w14:paraId="2DBC9BEE" w14:textId="77777777" w:rsidR="0062699B" w:rsidRPr="004D0EA6" w:rsidRDefault="0062699B" w:rsidP="0062699B">
      <w:pPr>
        <w:pStyle w:val="Akapitzlist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7B6D22D" w14:textId="77777777" w:rsidR="0062699B" w:rsidRPr="004D0EA6" w:rsidRDefault="0062699B" w:rsidP="0062699B">
      <w:pPr>
        <w:pStyle w:val="Akapitzlist"/>
        <w:numPr>
          <w:ilvl w:val="0"/>
          <w:numId w:val="6"/>
        </w:numPr>
        <w:spacing w:after="0" w:line="24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D0EA6">
        <w:rPr>
          <w:rFonts w:ascii="Arial" w:hAnsi="Arial" w:cs="Arial"/>
          <w:sz w:val="22"/>
          <w:szCs w:val="22"/>
        </w:rPr>
        <w:t>Dzień roboczy - dzień od poniedziałku do piątku w godzinach od 8.00 do 16.00 z wyjątkiem dni ustawowo wolnych od pracy w Polsce;</w:t>
      </w:r>
    </w:p>
    <w:p w14:paraId="7BA9E495" w14:textId="77777777" w:rsidR="0062699B" w:rsidRPr="004D0EA6" w:rsidRDefault="0062699B" w:rsidP="0062699B">
      <w:pPr>
        <w:pStyle w:val="Akapitzlist"/>
        <w:numPr>
          <w:ilvl w:val="0"/>
          <w:numId w:val="6"/>
        </w:numPr>
        <w:spacing w:after="0" w:line="24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D0EA6">
        <w:rPr>
          <w:rFonts w:ascii="Arial" w:hAnsi="Arial" w:cs="Arial"/>
          <w:sz w:val="22"/>
          <w:szCs w:val="22"/>
        </w:rPr>
        <w:t>Oprogramowanie - oprogramowanie dostarczane w ramach niniejszej Umowy;</w:t>
      </w:r>
    </w:p>
    <w:p w14:paraId="3FB318F9" w14:textId="77777777" w:rsidR="0062699B" w:rsidRPr="004D0EA6" w:rsidRDefault="0062699B" w:rsidP="0062699B">
      <w:pPr>
        <w:pStyle w:val="Akapitzlist"/>
        <w:numPr>
          <w:ilvl w:val="0"/>
          <w:numId w:val="6"/>
        </w:numPr>
        <w:spacing w:after="0" w:line="24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D0EA6">
        <w:rPr>
          <w:rFonts w:ascii="Arial" w:hAnsi="Arial" w:cs="Arial"/>
          <w:sz w:val="22"/>
          <w:szCs w:val="22"/>
        </w:rPr>
        <w:t>Błąd krytyczny – to nieprawidłowe działanie wskutek którego niemożliwie jest użytkowanie Oprogramowania w zakresie jego podstawowej funkcjonalności (</w:t>
      </w:r>
      <w:proofErr w:type="spellStart"/>
      <w:r w:rsidRPr="004D0EA6">
        <w:rPr>
          <w:rFonts w:ascii="Arial" w:hAnsi="Arial" w:cs="Arial"/>
          <w:sz w:val="22"/>
          <w:szCs w:val="22"/>
        </w:rPr>
        <w:t>t.j</w:t>
      </w:r>
      <w:proofErr w:type="spellEnd"/>
      <w:r w:rsidRPr="004D0EA6">
        <w:rPr>
          <w:rFonts w:ascii="Arial" w:hAnsi="Arial" w:cs="Arial"/>
          <w:sz w:val="22"/>
          <w:szCs w:val="22"/>
        </w:rPr>
        <w:t>. takiej, która dotyczy pracy oprogramowania w konfiguracji zgodnie z zaleceniami producenta) i prowadzi do zatrzymania jego eksploatacji, utraty danych lub naruszenia ich spójności, w wyniku których niemożliwe jest prowadzenie działalności z użyciem oprogramowania;</w:t>
      </w:r>
    </w:p>
    <w:p w14:paraId="54D1D136" w14:textId="77777777" w:rsidR="0062699B" w:rsidRPr="004D0EA6" w:rsidRDefault="0062699B" w:rsidP="0062699B">
      <w:pPr>
        <w:pStyle w:val="Akapitzlist"/>
        <w:numPr>
          <w:ilvl w:val="0"/>
          <w:numId w:val="6"/>
        </w:numPr>
        <w:spacing w:after="0" w:line="24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D0EA6">
        <w:rPr>
          <w:rFonts w:ascii="Arial" w:hAnsi="Arial" w:cs="Arial"/>
          <w:sz w:val="22"/>
          <w:szCs w:val="22"/>
        </w:rPr>
        <w:t>Błąd zwykły - niespowodowane przez użytkownika, niezgodne z dokumentacją, powtarzalne działanie oprogramowania, występujące w tym samym miejscu programu, na sprzęcie skonfigurowanym zgodnie z zaleceniami producenta oprogramowania i prowadzące w każdym przypadku do otrzymania błędnych wyników jego działania, udokumentowane co najmniej poprzez opis ścieżki powtórzenia, zapisy logów systemowych i/lub zrzuty ekranów. Wszelkie uwagi związane z wyglądem, estetyką, ergonomią bądź przyzwyczajeniami Użytkownika (Zamawiającego) oraz uwagi dotyczące rozbudowy lub ograniczenia funkcjonalności nie są traktowane jako Błędy;</w:t>
      </w:r>
    </w:p>
    <w:p w14:paraId="1053ECC5" w14:textId="77777777" w:rsidR="0062699B" w:rsidRPr="004D0EA6" w:rsidRDefault="0062699B" w:rsidP="0062699B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EAF0779" w14:textId="77777777" w:rsidR="0062699B" w:rsidRPr="004D0EA6" w:rsidRDefault="0062699B" w:rsidP="0062699B">
      <w:pPr>
        <w:tabs>
          <w:tab w:val="left" w:pos="993"/>
        </w:tabs>
        <w:spacing w:after="0" w:line="240" w:lineRule="auto"/>
        <w:rPr>
          <w:rFonts w:ascii="Arial" w:eastAsiaTheme="minorEastAsia" w:hAnsi="Arial" w:cs="Arial"/>
          <w:b/>
          <w:bCs/>
          <w:sz w:val="22"/>
          <w:szCs w:val="22"/>
          <w:u w:val="single"/>
        </w:rPr>
      </w:pPr>
      <w:bookmarkStart w:id="2" w:name="_Hlk216081302"/>
      <w:r w:rsidRPr="004D0EA6">
        <w:rPr>
          <w:rFonts w:ascii="Arial" w:eastAsiaTheme="minorEastAsia" w:hAnsi="Arial" w:cs="Arial"/>
          <w:b/>
          <w:bCs/>
          <w:sz w:val="22"/>
          <w:szCs w:val="22"/>
          <w:u w:val="single"/>
        </w:rPr>
        <w:t>Szkolenia</w:t>
      </w:r>
    </w:p>
    <w:p w14:paraId="1BBE98DB" w14:textId="77777777" w:rsidR="0062699B" w:rsidRPr="004D0EA6" w:rsidRDefault="0062699B" w:rsidP="0062699B">
      <w:pPr>
        <w:pStyle w:val="Akapitzlist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hAnsi="Arial" w:cs="Arial"/>
          <w:sz w:val="22"/>
          <w:szCs w:val="22"/>
        </w:rPr>
        <w:t xml:space="preserve">Wykonawca zobowiązuje się do przeprowadzenia </w:t>
      </w:r>
      <w:r w:rsidRPr="004D0EA6">
        <w:rPr>
          <w:rStyle w:val="Pogrubienie"/>
          <w:rFonts w:ascii="Arial" w:hAnsi="Arial" w:cs="Arial"/>
          <w:sz w:val="22"/>
          <w:szCs w:val="22"/>
        </w:rPr>
        <w:t>szkoleń administratorów w zakresie obsługi wdrażanych rozwiązań w formie online dla dwóch osób, w wymiarze czasowym nie krótszym niż 2 godziny</w:t>
      </w:r>
      <w:r w:rsidRPr="004D0EA6">
        <w:rPr>
          <w:rFonts w:ascii="Arial" w:hAnsi="Arial" w:cs="Arial"/>
          <w:sz w:val="22"/>
          <w:szCs w:val="22"/>
        </w:rPr>
        <w:t>, w zakresie zapewniającym pełne przeszkolenie z obsługi dostarczanego oprogramowania</w:t>
      </w:r>
    </w:p>
    <w:p w14:paraId="79FAD29C" w14:textId="77777777" w:rsidR="0062699B" w:rsidRPr="004D0EA6" w:rsidRDefault="0062699B" w:rsidP="0062699B">
      <w:pPr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>Zamawiający zobowiązany jest do przekazania Wykonawcy listy uczestników na co najmniej 1 (jeden) dzień przed terminem Szkolenia.</w:t>
      </w:r>
    </w:p>
    <w:p w14:paraId="266EAEB3" w14:textId="77777777" w:rsidR="0062699B" w:rsidRPr="004D0EA6" w:rsidRDefault="0062699B" w:rsidP="0062699B">
      <w:pPr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>Termin szkolenia należy uzgodnić z Zamawiającym. Wykonawca przeprowadzi Szkolenie w terminie uzgodnionym z Zamawiającym niezależnie od liczby uczestników, a brak frekwencji na Szkoleniu nie stanowi podstawy do powtórzenia Szkolenia przez Wykonawcę.</w:t>
      </w:r>
    </w:p>
    <w:p w14:paraId="7F30BE99" w14:textId="77777777" w:rsidR="0062699B" w:rsidRPr="004D0EA6" w:rsidRDefault="0062699B" w:rsidP="0062699B">
      <w:pPr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>W ramach Szkoleń Wykonawca przekaże materiały szkoleniowe (w języku polskim) uczestnikom w formie elektronicznej. Materiały te muszą uwzględniać zarówno dokumentację</w:t>
      </w:r>
      <w:bookmarkEnd w:id="2"/>
      <w:r w:rsidRPr="004D0EA6">
        <w:rPr>
          <w:rFonts w:ascii="Arial" w:eastAsiaTheme="minorEastAsia" w:hAnsi="Arial" w:cs="Arial"/>
          <w:sz w:val="22"/>
          <w:szCs w:val="22"/>
        </w:rPr>
        <w:t xml:space="preserve"> techniczną, jak i instrukcje użytkownika/przewodniki obsługi, sporządzone w języku polskim. </w:t>
      </w:r>
    </w:p>
    <w:p w14:paraId="0C0CEEEB" w14:textId="77777777" w:rsidR="0062699B" w:rsidRPr="004D0EA6" w:rsidRDefault="0062699B" w:rsidP="0062699B">
      <w:pPr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4D0EA6">
        <w:rPr>
          <w:rFonts w:ascii="Arial" w:eastAsiaTheme="minorEastAsia" w:hAnsi="Arial" w:cs="Arial"/>
          <w:sz w:val="22"/>
          <w:szCs w:val="22"/>
        </w:rPr>
        <w:t>Dokumentacja musi pozwalać na samodzielne zarządzanie oprogramowaniem oraz pełne wykorzystanie zgłoszonych funkcjonalności.</w:t>
      </w:r>
    </w:p>
    <w:p w14:paraId="6736603F" w14:textId="77777777" w:rsidR="0062699B" w:rsidRPr="004D0EA6" w:rsidRDefault="0062699B" w:rsidP="0062699B">
      <w:pPr>
        <w:tabs>
          <w:tab w:val="left" w:pos="993"/>
        </w:tabs>
        <w:spacing w:after="0" w:line="240" w:lineRule="auto"/>
        <w:jc w:val="both"/>
        <w:rPr>
          <w:rFonts w:ascii="Arial" w:eastAsia="Aptos" w:hAnsi="Arial" w:cs="Arial"/>
          <w:color w:val="000000" w:themeColor="text1"/>
          <w:sz w:val="22"/>
          <w:szCs w:val="22"/>
        </w:rPr>
      </w:pPr>
    </w:p>
    <w:p w14:paraId="712AF31E" w14:textId="77777777" w:rsidR="00E14D70" w:rsidRDefault="00E14D70"/>
    <w:p w14:paraId="65A50DC8" w14:textId="216CF8A2" w:rsidR="00E14D70" w:rsidRPr="007544FB" w:rsidRDefault="00E14D70" w:rsidP="00E14D70">
      <w:pPr>
        <w:jc w:val="both"/>
        <w:rPr>
          <w:rFonts w:ascii="Arial" w:hAnsi="Arial" w:cs="Arial"/>
          <w:sz w:val="22"/>
          <w:szCs w:val="22"/>
        </w:rPr>
      </w:pPr>
      <w:r w:rsidRPr="007544FB">
        <w:rPr>
          <w:rFonts w:ascii="Arial" w:hAnsi="Arial" w:cs="Arial"/>
          <w:sz w:val="22"/>
          <w:szCs w:val="22"/>
        </w:rPr>
        <w:t xml:space="preserve">Oświadczam, iż zaoferowane przez nas rozwiązanie spełnia wszystkie wymagania określone w Załączniku nr </w:t>
      </w:r>
      <w:r w:rsidR="000C30F5">
        <w:rPr>
          <w:rFonts w:ascii="Arial" w:hAnsi="Arial" w:cs="Arial"/>
          <w:sz w:val="22"/>
          <w:szCs w:val="22"/>
        </w:rPr>
        <w:t>2</w:t>
      </w:r>
      <w:r w:rsidRPr="007544FB">
        <w:rPr>
          <w:rFonts w:ascii="Arial" w:hAnsi="Arial" w:cs="Arial"/>
          <w:sz w:val="22"/>
          <w:szCs w:val="22"/>
        </w:rPr>
        <w:t>.1 do SWZ – Opis Przedmiotu zamówienia</w:t>
      </w:r>
    </w:p>
    <w:p w14:paraId="5F24E194" w14:textId="77777777" w:rsidR="00E14D70" w:rsidRDefault="00E14D70" w:rsidP="00E14D70">
      <w:pPr>
        <w:jc w:val="both"/>
      </w:pPr>
    </w:p>
    <w:p w14:paraId="76A303DB" w14:textId="77777777" w:rsidR="00E14D70" w:rsidRDefault="00E14D70" w:rsidP="00E14D70">
      <w:pPr>
        <w:jc w:val="both"/>
      </w:pPr>
    </w:p>
    <w:p w14:paraId="47E42978" w14:textId="573D069B" w:rsidR="00E14D70" w:rsidRPr="00E14D70" w:rsidRDefault="00E14D70" w:rsidP="001422A0">
      <w:pPr>
        <w:widowControl w:val="0"/>
        <w:ind w:left="7080" w:firstLine="708"/>
        <w:rPr>
          <w:rFonts w:ascii="Arial" w:eastAsia="Arial MT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14D70">
        <w:rPr>
          <w:rFonts w:ascii="Arial" w:eastAsia="Arial MT" w:hAnsi="Arial" w:cs="Arial"/>
          <w:color w:val="000000"/>
          <w:kern w:val="0"/>
          <w:sz w:val="20"/>
          <w:szCs w:val="20"/>
          <w:lang w:eastAsia="pl-PL"/>
          <w14:ligatures w14:val="none"/>
        </w:rPr>
        <w:t>...................................................................</w:t>
      </w:r>
    </w:p>
    <w:p w14:paraId="1717BE08" w14:textId="70C5E53B" w:rsidR="00E14D70" w:rsidRPr="00E14D70" w:rsidRDefault="00E14D70" w:rsidP="00E14D70">
      <w:pPr>
        <w:widowControl w:val="0"/>
        <w:spacing w:after="0" w:line="240" w:lineRule="auto"/>
        <w:ind w:left="5664"/>
        <w:jc w:val="center"/>
        <w:rPr>
          <w:rFonts w:ascii="Arial" w:eastAsia="Arial MT" w:hAnsi="Arial" w:cs="Arial"/>
          <w:color w:val="FF0000"/>
          <w:kern w:val="0"/>
          <w:sz w:val="18"/>
          <w:szCs w:val="18"/>
          <w:lang w:eastAsia="pl-PL"/>
          <w14:ligatures w14:val="none"/>
        </w:rPr>
      </w:pPr>
      <w:r w:rsidRPr="00E14D70">
        <w:rPr>
          <w:rFonts w:ascii="Arial" w:eastAsia="Arial MT" w:hAnsi="Arial" w:cs="Arial"/>
          <w:i/>
          <w:color w:val="FF0000"/>
          <w:kern w:val="0"/>
          <w:sz w:val="18"/>
          <w:szCs w:val="18"/>
          <w:lang w:eastAsia="pl-PL"/>
          <w14:ligatures w14:val="none"/>
        </w:rPr>
        <w:t xml:space="preserve">kwalifikowany </w:t>
      </w:r>
      <w:r w:rsidRPr="00E14D70">
        <w:rPr>
          <w:rFonts w:ascii="Arial" w:eastAsia="Arial MT" w:hAnsi="Arial" w:cs="Arial"/>
          <w:b/>
          <w:i/>
          <w:color w:val="FF0000"/>
          <w:kern w:val="0"/>
          <w:sz w:val="18"/>
          <w:szCs w:val="18"/>
          <w:u w:val="single"/>
          <w:lang w:eastAsia="pl-PL"/>
          <w14:ligatures w14:val="none"/>
        </w:rPr>
        <w:t>podpis elektroniczny</w:t>
      </w:r>
      <w:r w:rsidRPr="00E14D70">
        <w:rPr>
          <w:rFonts w:ascii="Arial" w:eastAsia="Arial MT" w:hAnsi="Arial" w:cs="Arial"/>
          <w:i/>
          <w:color w:val="FF0000"/>
          <w:kern w:val="0"/>
          <w:sz w:val="18"/>
          <w:szCs w:val="18"/>
          <w:lang w:eastAsia="pl-PL"/>
          <w14:ligatures w14:val="none"/>
        </w:rPr>
        <w:t xml:space="preserve"> upoważnionego </w:t>
      </w:r>
      <w:r>
        <w:rPr>
          <w:rFonts w:ascii="Arial" w:eastAsia="Arial MT" w:hAnsi="Arial" w:cs="Arial"/>
          <w:i/>
          <w:color w:val="FF0000"/>
          <w:kern w:val="0"/>
          <w:sz w:val="18"/>
          <w:szCs w:val="18"/>
          <w:lang w:eastAsia="pl-PL"/>
          <w14:ligatures w14:val="none"/>
        </w:rPr>
        <w:br/>
      </w:r>
      <w:r w:rsidRPr="00E14D70">
        <w:rPr>
          <w:rFonts w:ascii="Arial" w:eastAsia="Arial MT" w:hAnsi="Arial" w:cs="Arial"/>
          <w:i/>
          <w:color w:val="FF0000"/>
          <w:kern w:val="0"/>
          <w:sz w:val="18"/>
          <w:szCs w:val="18"/>
          <w:lang w:eastAsia="pl-PL"/>
          <w14:ligatures w14:val="none"/>
        </w:rPr>
        <w:t>przedstawiciela uprawnionego do reprezentacji podmiotu</w:t>
      </w:r>
    </w:p>
    <w:p w14:paraId="04E1FFCB" w14:textId="77777777" w:rsidR="00E14D70" w:rsidRPr="00E14D70" w:rsidRDefault="00E14D70" w:rsidP="00E14D70">
      <w:pPr>
        <w:widowControl w:val="0"/>
        <w:spacing w:before="120" w:after="0" w:line="240" w:lineRule="auto"/>
        <w:rPr>
          <w:rFonts w:ascii="Arial" w:eastAsia="Arial" w:hAnsi="Arial" w:cs="Arial"/>
          <w:b/>
          <w:color w:val="FF0000"/>
          <w:kern w:val="0"/>
          <w:u w:val="single"/>
          <w:lang w:eastAsia="pl-PL"/>
          <w14:ligatures w14:val="none"/>
        </w:rPr>
      </w:pPr>
    </w:p>
    <w:p w14:paraId="556E5F32" w14:textId="6D1EBBC7" w:rsidR="00E14D70" w:rsidRDefault="00E14D70" w:rsidP="00E14D70">
      <w:pPr>
        <w:jc w:val="both"/>
      </w:pPr>
    </w:p>
    <w:sectPr w:rsidR="00E14D70" w:rsidSect="00E8234C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72738" w14:textId="77777777" w:rsidR="00FE69F8" w:rsidRDefault="00FE69F8" w:rsidP="00E14D70">
      <w:pPr>
        <w:spacing w:after="0" w:line="240" w:lineRule="auto"/>
      </w:pPr>
      <w:r>
        <w:separator/>
      </w:r>
    </w:p>
  </w:endnote>
  <w:endnote w:type="continuationSeparator" w:id="0">
    <w:p w14:paraId="601919B6" w14:textId="77777777" w:rsidR="00FE69F8" w:rsidRDefault="00FE69F8" w:rsidP="00E14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28202" w14:textId="5BEFD938" w:rsidR="00B14989" w:rsidRDefault="00B14989">
    <w:pPr>
      <w:pStyle w:val="Stopka"/>
    </w:pPr>
    <w:r>
      <w:rPr>
        <w:noProof/>
      </w:rPr>
      <w:drawing>
        <wp:inline distT="0" distB="0" distL="0" distR="0" wp14:anchorId="1B6D16B5" wp14:editId="430CDDAB">
          <wp:extent cx="5850255" cy="673100"/>
          <wp:effectExtent l="0" t="0" r="0" b="0"/>
          <wp:docPr id="17364052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05285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4551F" w14:textId="77777777" w:rsidR="00FE69F8" w:rsidRDefault="00FE69F8" w:rsidP="00E14D70">
      <w:pPr>
        <w:spacing w:after="0" w:line="240" w:lineRule="auto"/>
      </w:pPr>
      <w:r>
        <w:separator/>
      </w:r>
    </w:p>
  </w:footnote>
  <w:footnote w:type="continuationSeparator" w:id="0">
    <w:p w14:paraId="41758470" w14:textId="77777777" w:rsidR="00FE69F8" w:rsidRDefault="00FE69F8" w:rsidP="00E14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F7F28" w14:textId="27054D40" w:rsidR="00E14D70" w:rsidRDefault="00E14D70" w:rsidP="00E14D70">
    <w:pPr>
      <w:pStyle w:val="Nagwek"/>
      <w:ind w:left="9204"/>
      <w:rPr>
        <w:rFonts w:ascii="Arial" w:hAnsi="Arial" w:cs="Arial"/>
        <w:b/>
        <w:bCs/>
        <w:sz w:val="22"/>
        <w:szCs w:val="22"/>
      </w:rPr>
    </w:pPr>
    <w:r w:rsidRPr="00E14D70">
      <w:rPr>
        <w:rFonts w:ascii="Arial" w:hAnsi="Arial" w:cs="Arial"/>
        <w:b/>
        <w:bCs/>
        <w:sz w:val="22"/>
        <w:szCs w:val="22"/>
      </w:rPr>
      <w:t>Załącznik nr 1.1. do Formularza Ofertowego</w:t>
    </w:r>
  </w:p>
  <w:p w14:paraId="382F753B" w14:textId="77777777" w:rsidR="00E14D70" w:rsidRDefault="00E14D70" w:rsidP="00E14D70">
    <w:pPr>
      <w:pStyle w:val="Nagwek"/>
      <w:ind w:left="9204"/>
      <w:rPr>
        <w:rFonts w:ascii="Arial" w:hAnsi="Arial" w:cs="Arial"/>
        <w:b/>
        <w:bCs/>
        <w:sz w:val="22"/>
        <w:szCs w:val="22"/>
      </w:rPr>
    </w:pPr>
  </w:p>
  <w:p w14:paraId="79478683" w14:textId="77777777" w:rsidR="00E14D70" w:rsidRDefault="00E14D70" w:rsidP="00E14D70">
    <w:pPr>
      <w:pStyle w:val="Nagwek"/>
      <w:ind w:left="9204"/>
      <w:rPr>
        <w:rFonts w:ascii="Arial" w:hAnsi="Arial" w:cs="Arial"/>
        <w:b/>
        <w:bCs/>
        <w:sz w:val="22"/>
        <w:szCs w:val="22"/>
      </w:rPr>
    </w:pPr>
  </w:p>
  <w:p w14:paraId="3731CDD8" w14:textId="22D31B16" w:rsidR="00E14D70" w:rsidRDefault="00E14D70" w:rsidP="00E14D70">
    <w:pPr>
      <w:pStyle w:val="Nagwek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Formularz asortymentowy</w:t>
    </w:r>
    <w:r w:rsidR="0073177B">
      <w:rPr>
        <w:rFonts w:ascii="Arial" w:hAnsi="Arial" w:cs="Arial"/>
        <w:b/>
        <w:bCs/>
        <w:sz w:val="22"/>
        <w:szCs w:val="22"/>
      </w:rPr>
      <w:t xml:space="preserve"> (Część 1 – Pakiet 1)</w:t>
    </w:r>
  </w:p>
  <w:p w14:paraId="4FB7086B" w14:textId="77777777" w:rsidR="00E14D70" w:rsidRPr="00E14D70" w:rsidRDefault="00E14D70" w:rsidP="00E14D70">
    <w:pPr>
      <w:pStyle w:val="Nagwek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CCD"/>
    <w:multiLevelType w:val="multilevel"/>
    <w:tmpl w:val="540A9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648A7"/>
    <w:multiLevelType w:val="multilevel"/>
    <w:tmpl w:val="16C02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7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8A6EB2"/>
    <w:multiLevelType w:val="multilevel"/>
    <w:tmpl w:val="2AA082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046355"/>
    <w:multiLevelType w:val="multilevel"/>
    <w:tmpl w:val="0478D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972F24"/>
    <w:multiLevelType w:val="multilevel"/>
    <w:tmpl w:val="99F4A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5C22EE"/>
    <w:multiLevelType w:val="multilevel"/>
    <w:tmpl w:val="71D0B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EE5227"/>
    <w:multiLevelType w:val="hybridMultilevel"/>
    <w:tmpl w:val="AF4C8F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5035848">
    <w:abstractNumId w:val="0"/>
  </w:num>
  <w:num w:numId="2" w16cid:durableId="910388359">
    <w:abstractNumId w:val="4"/>
  </w:num>
  <w:num w:numId="3" w16cid:durableId="1225870471">
    <w:abstractNumId w:val="3"/>
  </w:num>
  <w:num w:numId="4" w16cid:durableId="1928808299">
    <w:abstractNumId w:val="1"/>
  </w:num>
  <w:num w:numId="5" w16cid:durableId="1664427450">
    <w:abstractNumId w:val="2"/>
  </w:num>
  <w:num w:numId="6" w16cid:durableId="1006906987">
    <w:abstractNumId w:val="6"/>
  </w:num>
  <w:num w:numId="7" w16cid:durableId="12264565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3E0"/>
    <w:rsid w:val="000C30F5"/>
    <w:rsid w:val="001422A0"/>
    <w:rsid w:val="001A09A0"/>
    <w:rsid w:val="001B509C"/>
    <w:rsid w:val="002D5743"/>
    <w:rsid w:val="00335502"/>
    <w:rsid w:val="003D0CC3"/>
    <w:rsid w:val="00612587"/>
    <w:rsid w:val="0062699B"/>
    <w:rsid w:val="0064618A"/>
    <w:rsid w:val="0073177B"/>
    <w:rsid w:val="007544FB"/>
    <w:rsid w:val="007675AA"/>
    <w:rsid w:val="00806299"/>
    <w:rsid w:val="0099319D"/>
    <w:rsid w:val="00A06EC6"/>
    <w:rsid w:val="00A45B0E"/>
    <w:rsid w:val="00B040FB"/>
    <w:rsid w:val="00B14989"/>
    <w:rsid w:val="00B30355"/>
    <w:rsid w:val="00BA06B5"/>
    <w:rsid w:val="00CC33E0"/>
    <w:rsid w:val="00E14D70"/>
    <w:rsid w:val="00E8234C"/>
    <w:rsid w:val="00FE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66F7"/>
  <w15:chartTrackingRefBased/>
  <w15:docId w15:val="{8D255479-1453-43C2-ABDB-BCD97AA7F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C33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33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33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33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33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33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33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33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33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33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33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33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33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33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33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33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33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33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33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33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33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33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33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33E0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BulletC,Wyliczanie,Obiekt,Akapit z listą31,Bullets,Preambuła,Wypunktowanie,CW_Lista,Akapit z listą siwz,Podsis rysunku,Akapit z listą numerowaną,Akapit z listą3,Normal2,List Paragraph1,lp1,Bullet Number,lp11"/>
    <w:basedOn w:val="Normalny"/>
    <w:link w:val="AkapitzlistZnak"/>
    <w:uiPriority w:val="34"/>
    <w:qFormat/>
    <w:rsid w:val="00CC33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33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33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33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33E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82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14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4D70"/>
  </w:style>
  <w:style w:type="paragraph" w:styleId="Stopka">
    <w:name w:val="footer"/>
    <w:basedOn w:val="Normalny"/>
    <w:link w:val="StopkaZnak"/>
    <w:uiPriority w:val="99"/>
    <w:unhideWhenUsed/>
    <w:rsid w:val="00E14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D70"/>
  </w:style>
  <w:style w:type="character" w:customStyle="1" w:styleId="AkapitzlistZnak">
    <w:name w:val="Akapit z listą Znak"/>
    <w:aliases w:val="L1 Znak,Numerowanie Znak,normalny tekst Znak,BulletC Znak,Wyliczanie Znak,Obiekt Znak,Akapit z listą31 Znak,Bullets Znak,Preambuła Znak,Wypunktowanie Znak,CW_Lista Znak,Akapit z listą siwz Znak,Podsis rysunku Znak,Normal2 Znak"/>
    <w:basedOn w:val="Domylnaczcionkaakapitu"/>
    <w:link w:val="Akapitzlist"/>
    <w:uiPriority w:val="34"/>
    <w:qFormat/>
    <w:locked/>
    <w:rsid w:val="0062699B"/>
  </w:style>
  <w:style w:type="character" w:styleId="Pogrubienie">
    <w:name w:val="Strong"/>
    <w:basedOn w:val="Domylnaczcionkaakapitu"/>
    <w:uiPriority w:val="22"/>
    <w:qFormat/>
    <w:rsid w:val="00626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1790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Żelazko Edyta</dc:creator>
  <cp:keywords/>
  <dc:description/>
  <cp:lastModifiedBy>Gromadzka Agnieszka</cp:lastModifiedBy>
  <cp:revision>10</cp:revision>
  <cp:lastPrinted>2026-04-14T09:25:00Z</cp:lastPrinted>
  <dcterms:created xsi:type="dcterms:W3CDTF">2026-03-30T11:33:00Z</dcterms:created>
  <dcterms:modified xsi:type="dcterms:W3CDTF">2026-04-14T09:26:00Z</dcterms:modified>
</cp:coreProperties>
</file>